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95" w:rsidRPr="00BE08A1" w:rsidRDefault="00F71695" w:rsidP="00F71695">
      <w:pPr>
        <w:spacing w:before="100" w:beforeAutospacing="1" w:after="100" w:afterAutospacing="1" w:line="480" w:lineRule="auto"/>
        <w:jc w:val="both"/>
        <w:rPr>
          <w:rFonts w:ascii="Calibri" w:eastAsia="Times New Roman" w:hAnsi="Calibri" w:cs="Times New Roman"/>
          <w:b/>
          <w:color w:val="1F497D"/>
          <w:spacing w:val="20"/>
          <w:sz w:val="24"/>
          <w:szCs w:val="24"/>
          <w:lang w:eastAsia="es-UY"/>
        </w:rPr>
      </w:pPr>
      <w:r w:rsidRPr="00BE08A1">
        <w:rPr>
          <w:rFonts w:ascii="Calibri" w:eastAsia="Times New Roman" w:hAnsi="Calibri" w:cs="Times New Roman"/>
          <w:b/>
          <w:color w:val="1F497D"/>
          <w:spacing w:val="20"/>
          <w:sz w:val="24"/>
          <w:szCs w:val="24"/>
          <w:u w:val="single"/>
          <w:lang w:eastAsia="es-UY"/>
        </w:rPr>
        <w:t>Fe de erratas</w:t>
      </w:r>
      <w:r w:rsidRPr="00BE08A1">
        <w:rPr>
          <w:rFonts w:ascii="Calibri" w:eastAsia="Times New Roman" w:hAnsi="Calibri" w:cs="Times New Roman"/>
          <w:b/>
          <w:color w:val="1F497D"/>
          <w:spacing w:val="20"/>
          <w:sz w:val="24"/>
          <w:szCs w:val="24"/>
          <w:lang w:eastAsia="es-UY"/>
        </w:rPr>
        <w:t xml:space="preserve">: </w:t>
      </w:r>
    </w:p>
    <w:p w:rsidR="00F71695" w:rsidRPr="00BE08A1" w:rsidRDefault="00F71695" w:rsidP="00F71695">
      <w:pPr>
        <w:spacing w:before="100" w:beforeAutospacing="1" w:after="100" w:afterAutospacing="1" w:line="480" w:lineRule="auto"/>
        <w:jc w:val="both"/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</w:pP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 xml:space="preserve"> </w:t>
      </w: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ab/>
        <w:t>Teniendo presente según surge de las Conclusiones de la Primera Ronda de Talleres en su punto Quinto “…Eje Innovaciones Procesales: Protocolo iberoamericano de justicia en audie</w:t>
      </w:r>
      <w:r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>ncia y guía de buenas prácticas</w:t>
      </w: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>…</w:t>
      </w:r>
      <w:r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>”</w:t>
      </w: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 xml:space="preserve"> cuenta con seis anexos.</w:t>
      </w:r>
    </w:p>
    <w:p w:rsidR="00F71695" w:rsidRDefault="00F71695" w:rsidP="00F71695">
      <w:pPr>
        <w:spacing w:before="100" w:beforeAutospacing="1" w:after="100" w:afterAutospacing="1" w:line="480" w:lineRule="auto"/>
        <w:jc w:val="both"/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</w:pP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 xml:space="preserve"> </w:t>
      </w: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ab/>
        <w:t xml:space="preserve">Debido a un error de inadvertencia, se contabilizaron seis anexos en vez de cinco. Por lo cual, </w:t>
      </w:r>
      <w:r w:rsidRPr="00BE08A1">
        <w:rPr>
          <w:rFonts w:ascii="Calibri" w:eastAsia="Times New Roman" w:hAnsi="Calibri" w:cs="Times New Roman"/>
          <w:b/>
          <w:color w:val="1F497D"/>
          <w:spacing w:val="20"/>
          <w:sz w:val="24"/>
          <w:szCs w:val="24"/>
          <w:u w:val="single"/>
          <w:lang w:eastAsia="es-UY"/>
        </w:rPr>
        <w:t>no debe considerarse el anexo 2.2</w:t>
      </w:r>
      <w:r w:rsidRPr="00BE08A1"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  <w:t>.</w:t>
      </w:r>
    </w:p>
    <w:p w:rsidR="00764643" w:rsidRDefault="00764643" w:rsidP="00F71695">
      <w:pPr>
        <w:spacing w:before="100" w:beforeAutospacing="1" w:after="100" w:afterAutospacing="1" w:line="480" w:lineRule="auto"/>
        <w:jc w:val="both"/>
        <w:rPr>
          <w:rFonts w:ascii="Calibri" w:eastAsia="Times New Roman" w:hAnsi="Calibri" w:cs="Times New Roman"/>
          <w:color w:val="1F497D"/>
          <w:spacing w:val="20"/>
          <w:sz w:val="24"/>
          <w:szCs w:val="24"/>
          <w:lang w:eastAsia="es-UY"/>
        </w:rPr>
      </w:pPr>
    </w:p>
    <w:p w:rsidR="00764643" w:rsidRPr="00764643" w:rsidRDefault="00764643" w:rsidP="00764643">
      <w:pPr>
        <w:spacing w:before="100" w:beforeAutospacing="1" w:after="100" w:afterAutospacing="1" w:line="480" w:lineRule="auto"/>
        <w:jc w:val="center"/>
        <w:rPr>
          <w:rFonts w:ascii="Arial Narrow" w:eastAsia="Times New Roman" w:hAnsi="Arial Narrow" w:cs="Times New Roman"/>
          <w:color w:val="1F497D"/>
          <w:spacing w:val="20"/>
          <w:sz w:val="24"/>
          <w:szCs w:val="24"/>
          <w:lang w:eastAsia="es-UY"/>
        </w:rPr>
      </w:pPr>
      <w:r w:rsidRPr="00764643">
        <w:rPr>
          <w:rFonts w:ascii="Arial Narrow" w:eastAsia="Times New Roman" w:hAnsi="Arial Narrow" w:cs="Times New Roman"/>
          <w:color w:val="1F497D"/>
          <w:spacing w:val="20"/>
          <w:sz w:val="24"/>
          <w:szCs w:val="24"/>
          <w:lang w:eastAsia="es-UY"/>
        </w:rPr>
        <w:t>Secretaría Permanente Cumbre Judicial Iberoamericana.</w:t>
      </w:r>
      <w:bookmarkStart w:id="0" w:name="_GoBack"/>
      <w:bookmarkEnd w:id="0"/>
    </w:p>
    <w:p w:rsidR="001D35C2" w:rsidRDefault="001D35C2"/>
    <w:sectPr w:rsidR="001D35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85" w:rsidRDefault="00B67E85" w:rsidP="00B67E85">
      <w:pPr>
        <w:spacing w:after="0" w:line="240" w:lineRule="auto"/>
      </w:pPr>
      <w:r>
        <w:separator/>
      </w:r>
    </w:p>
  </w:endnote>
  <w:endnote w:type="continuationSeparator" w:id="0">
    <w:p w:rsidR="00B67E85" w:rsidRDefault="00B67E85" w:rsidP="00B6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85" w:rsidRDefault="00B67E85" w:rsidP="00B67E85">
      <w:pPr>
        <w:spacing w:after="0" w:line="240" w:lineRule="auto"/>
      </w:pPr>
      <w:r>
        <w:separator/>
      </w:r>
    </w:p>
  </w:footnote>
  <w:footnote w:type="continuationSeparator" w:id="0">
    <w:p w:rsidR="00B67E85" w:rsidRDefault="00B67E85" w:rsidP="00B6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85" w:rsidRDefault="00B67E85" w:rsidP="00B67E85">
    <w:pPr>
      <w:pStyle w:val="Encabezado"/>
      <w:jc w:val="right"/>
    </w:pPr>
    <w:r>
      <w:rPr>
        <w:noProof/>
        <w:lang w:eastAsia="es-UY"/>
      </w:rPr>
      <w:drawing>
        <wp:inline distT="0" distB="0" distL="0" distR="0">
          <wp:extent cx="981075" cy="891886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mbre judicial 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966" cy="90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85"/>
    <w:rsid w:val="001D35C2"/>
    <w:rsid w:val="00764643"/>
    <w:rsid w:val="00B67E85"/>
    <w:rsid w:val="00F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985168"/>
  <w15:chartTrackingRefBased/>
  <w15:docId w15:val="{250BD80C-2F37-49FE-8FD4-66034F8B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85"/>
  </w:style>
  <w:style w:type="paragraph" w:styleId="Piedepgina">
    <w:name w:val="footer"/>
    <w:basedOn w:val="Normal"/>
    <w:link w:val="PiedepginaCar"/>
    <w:uiPriority w:val="99"/>
    <w:unhideWhenUsed/>
    <w:rsid w:val="00B6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dlarrieux</dc:creator>
  <cp:keywords/>
  <dc:description/>
  <cp:lastModifiedBy>npirez</cp:lastModifiedBy>
  <cp:revision>3</cp:revision>
  <dcterms:created xsi:type="dcterms:W3CDTF">2016-12-26T13:25:00Z</dcterms:created>
  <dcterms:modified xsi:type="dcterms:W3CDTF">2016-12-26T13:29:00Z</dcterms:modified>
</cp:coreProperties>
</file>