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A004" w14:textId="77777777" w:rsidR="00BE71D2" w:rsidRPr="00BE71D2" w:rsidRDefault="00BE71D2" w:rsidP="00BE71D2">
      <w:pPr>
        <w:pStyle w:val="Prrafodelista"/>
        <w:spacing w:before="120" w:after="120" w:line="240" w:lineRule="auto"/>
        <w:jc w:val="center"/>
        <w:rPr>
          <w:b/>
          <w:bCs/>
          <w:color w:val="000000" w:themeColor="text1"/>
          <w:szCs w:val="22"/>
          <w:lang w:val="es-ES"/>
        </w:rPr>
      </w:pPr>
      <w:r w:rsidRPr="00BE71D2">
        <w:rPr>
          <w:b/>
          <w:bCs/>
          <w:color w:val="000000" w:themeColor="text1"/>
          <w:szCs w:val="22"/>
          <w:lang w:val="es-ES"/>
        </w:rPr>
        <w:t>Observatorio Iberoamericano de Evaluación de Desempeño Judicial con perspectiva de salud y bienestar</w:t>
      </w:r>
    </w:p>
    <w:p w14:paraId="5AF197DD" w14:textId="77777777" w:rsidR="00BE71D2" w:rsidRPr="00BE71D2" w:rsidRDefault="00BE71D2" w:rsidP="00BE71D2">
      <w:pPr>
        <w:shd w:val="clear" w:color="auto" w:fill="FFFFFF"/>
        <w:spacing w:before="360" w:after="180" w:line="240" w:lineRule="auto"/>
        <w:jc w:val="both"/>
        <w:rPr>
          <w:rFonts w:ascii="Verdana" w:eastAsia="Times New Roman" w:hAnsi="Verdana" w:cs="Times New Roman"/>
          <w:b/>
          <w:bCs/>
          <w:color w:val="000000" w:themeColor="text1"/>
          <w:lang w:eastAsia="es-ES"/>
        </w:rPr>
      </w:pPr>
    </w:p>
    <w:p w14:paraId="015BCE09" w14:textId="77777777" w:rsidR="00BE71D2" w:rsidRPr="00BE71D2" w:rsidRDefault="00BE71D2" w:rsidP="00BE71D2">
      <w:pPr>
        <w:shd w:val="clear" w:color="auto" w:fill="FFFFFF"/>
        <w:spacing w:before="360" w:after="180" w:line="240" w:lineRule="auto"/>
        <w:jc w:val="both"/>
        <w:rPr>
          <w:rFonts w:ascii="Verdana" w:eastAsia="Times New Roman" w:hAnsi="Verdana" w:cs="Times New Roman"/>
          <w:b/>
          <w:bCs/>
          <w:color w:val="000000" w:themeColor="text1"/>
          <w:lang w:eastAsia="es-ES"/>
        </w:rPr>
      </w:pPr>
      <w:r w:rsidRPr="00BE71D2">
        <w:rPr>
          <w:rFonts w:ascii="Verdana" w:eastAsia="Times New Roman" w:hAnsi="Verdana" w:cs="Times New Roman"/>
          <w:b/>
          <w:bCs/>
          <w:color w:val="000000" w:themeColor="text1"/>
          <w:lang w:eastAsia="es-ES"/>
        </w:rPr>
        <w:t>Preámbulo</w:t>
      </w:r>
    </w:p>
    <w:p w14:paraId="39FBCD17" w14:textId="77777777" w:rsidR="00BE71D2" w:rsidRPr="00BE71D2" w:rsidRDefault="00BE71D2" w:rsidP="00BE71D2">
      <w:pPr>
        <w:pStyle w:val="Default"/>
        <w:jc w:val="both"/>
        <w:rPr>
          <w:rFonts w:ascii="Verdana" w:eastAsia="Times New Roman" w:hAnsi="Verdana" w:cs="Times New Roman"/>
          <w:color w:val="000000" w:themeColor="text1"/>
          <w:sz w:val="22"/>
          <w:szCs w:val="22"/>
          <w:lang w:eastAsia="es-ES"/>
        </w:rPr>
      </w:pPr>
      <w:r w:rsidRPr="00BE71D2">
        <w:rPr>
          <w:rFonts w:ascii="Verdana" w:eastAsia="Times New Roman" w:hAnsi="Verdana" w:cs="Times New Roman"/>
          <w:color w:val="000000" w:themeColor="text1"/>
          <w:sz w:val="22"/>
          <w:szCs w:val="22"/>
          <w:lang w:eastAsia="es-ES"/>
        </w:rPr>
        <w:t xml:space="preserve">El Observatorio </w:t>
      </w:r>
      <w:r w:rsidRPr="00BE71D2">
        <w:rPr>
          <w:rFonts w:ascii="Verdana" w:hAnsi="Verdana"/>
          <w:color w:val="000000" w:themeColor="text1"/>
          <w:sz w:val="22"/>
          <w:szCs w:val="22"/>
        </w:rPr>
        <w:t xml:space="preserve">Iberoamericano de Evaluación de Desempeño Judicial con perspectiva de salud y bienestar </w:t>
      </w:r>
      <w:r w:rsidRPr="00BE71D2">
        <w:rPr>
          <w:rFonts w:ascii="Verdana" w:eastAsia="Times New Roman" w:hAnsi="Verdana" w:cs="Times New Roman"/>
          <w:color w:val="000000" w:themeColor="text1"/>
          <w:sz w:val="22"/>
          <w:szCs w:val="22"/>
          <w:lang w:eastAsia="es-ES"/>
        </w:rPr>
        <w:t>(en adelante, el Observatorio) es un órgano colegiado constituido al amparo de la normativa de la Cumbre Judicial Iberoamericana, y en particular, de las reglas establecidas en el Documento operativo.</w:t>
      </w:r>
    </w:p>
    <w:p w14:paraId="0BF7D070" w14:textId="77777777" w:rsidR="00BE71D2" w:rsidRPr="00BE71D2" w:rsidRDefault="00BE71D2" w:rsidP="00BE71D2">
      <w:pPr>
        <w:pStyle w:val="Default"/>
        <w:jc w:val="both"/>
        <w:rPr>
          <w:rFonts w:ascii="Verdana" w:eastAsia="Times New Roman" w:hAnsi="Verdana" w:cs="Times New Roman"/>
          <w:color w:val="000000" w:themeColor="text1"/>
          <w:sz w:val="22"/>
          <w:szCs w:val="22"/>
          <w:lang w:eastAsia="es-ES"/>
        </w:rPr>
      </w:pPr>
    </w:p>
    <w:p w14:paraId="3D0418E7" w14:textId="77777777" w:rsidR="00BE71D2" w:rsidRPr="00BE71D2" w:rsidRDefault="00BE71D2" w:rsidP="00BE71D2">
      <w:pPr>
        <w:pStyle w:val="Default"/>
        <w:jc w:val="both"/>
        <w:rPr>
          <w:rFonts w:ascii="Verdana" w:eastAsia="Times New Roman" w:hAnsi="Verdana" w:cs="Times New Roman"/>
          <w:color w:val="000000" w:themeColor="text1"/>
          <w:sz w:val="22"/>
          <w:szCs w:val="22"/>
          <w:lang w:eastAsia="es-ES"/>
        </w:rPr>
      </w:pPr>
      <w:r w:rsidRPr="00BE71D2">
        <w:rPr>
          <w:rFonts w:ascii="Verdana" w:eastAsia="Times New Roman" w:hAnsi="Verdana" w:cs="Times New Roman"/>
          <w:color w:val="000000" w:themeColor="text1"/>
          <w:sz w:val="22"/>
          <w:szCs w:val="22"/>
          <w:lang w:eastAsia="es-ES"/>
        </w:rPr>
        <w:t>Sus funciones asesoramiento, evaluación, colaboración institucional, elaboración de informes y estudios, y propuestas de actuación en materia de evaluación del desempeño con perspectiva de salud y bienestar de los miembros integrantes de la carrera judicial.</w:t>
      </w:r>
    </w:p>
    <w:p w14:paraId="613C22F1" w14:textId="77777777" w:rsidR="00BE71D2" w:rsidRPr="00BE71D2" w:rsidRDefault="00BE71D2" w:rsidP="00BE71D2">
      <w:pPr>
        <w:pStyle w:val="Default"/>
        <w:jc w:val="both"/>
        <w:rPr>
          <w:rFonts w:ascii="Verdana" w:eastAsia="Times New Roman" w:hAnsi="Verdana" w:cs="Times New Roman"/>
          <w:color w:val="000000" w:themeColor="text1"/>
          <w:sz w:val="22"/>
          <w:szCs w:val="22"/>
          <w:lang w:eastAsia="es-ES"/>
        </w:rPr>
      </w:pPr>
    </w:p>
    <w:p w14:paraId="5B156D43" w14:textId="77777777" w:rsidR="00BE71D2" w:rsidRPr="00BE71D2" w:rsidRDefault="00BE71D2" w:rsidP="00BE71D2">
      <w:pPr>
        <w:pStyle w:val="Default"/>
        <w:jc w:val="both"/>
        <w:rPr>
          <w:rFonts w:ascii="Verdana" w:hAnsi="Verdana"/>
          <w:color w:val="000000" w:themeColor="text1"/>
          <w:sz w:val="22"/>
          <w:szCs w:val="22"/>
        </w:rPr>
      </w:pPr>
      <w:r w:rsidRPr="00BE71D2">
        <w:rPr>
          <w:rFonts w:ascii="Verdana" w:hAnsi="Verdana"/>
          <w:color w:val="000000" w:themeColor="text1"/>
          <w:sz w:val="22"/>
          <w:szCs w:val="22"/>
        </w:rPr>
        <w:t xml:space="preserve">El número de integrantes, así como su funcionamiento, vendrán determinados en el presente texto </w:t>
      </w:r>
    </w:p>
    <w:p w14:paraId="600D8AE4" w14:textId="77777777" w:rsidR="00BE71D2" w:rsidRPr="00BE71D2" w:rsidRDefault="00BE71D2" w:rsidP="00BE71D2">
      <w:pPr>
        <w:pStyle w:val="Default"/>
        <w:jc w:val="both"/>
        <w:rPr>
          <w:rFonts w:ascii="Verdana" w:hAnsi="Verdana"/>
          <w:color w:val="000000" w:themeColor="text1"/>
          <w:sz w:val="22"/>
          <w:szCs w:val="22"/>
        </w:rPr>
      </w:pPr>
    </w:p>
    <w:p w14:paraId="029627B8" w14:textId="11D298A5" w:rsidR="00BE71D2" w:rsidRPr="00BE71D2" w:rsidRDefault="00BE71D2" w:rsidP="00BE71D2">
      <w:pPr>
        <w:spacing w:before="120" w:after="120" w:line="240" w:lineRule="auto"/>
        <w:jc w:val="both"/>
        <w:rPr>
          <w:rFonts w:ascii="Verdana" w:hAnsi="Verdana"/>
          <w:color w:val="000000" w:themeColor="text1"/>
        </w:rPr>
      </w:pPr>
      <w:r w:rsidRPr="00BE71D2">
        <w:rPr>
          <w:rFonts w:ascii="Verdana" w:hAnsi="Verdana"/>
          <w:color w:val="000000" w:themeColor="text1"/>
        </w:rPr>
        <w:t>Los/as integrantes de este Observatorio serán designados por cada uno de los Poderes judiciales o Consejos de la Judicatura integrantes de la Cumbre Judicial Iberoamericana, hasta un total de dos por país. Podrán participar como observadores miembros de las Comisiones permanentes que se determinan en esta disposición. En todo caso, y sin perjuicio de su autonomía en el ejercicio de sus funciones, el Observatorio, ya a través del Plenario o bien a través de su la Secretaria de su Comisión ejecutiva, dará cuenta de sus actividades y resultados  a la Comisión de Coordinación y Seguimiento de la Cumbre Judicial Iberoamericana.</w:t>
      </w:r>
    </w:p>
    <w:p w14:paraId="557E7DFB" w14:textId="77777777" w:rsidR="00BE71D2" w:rsidRPr="00BE71D2" w:rsidRDefault="00BE71D2" w:rsidP="00BE71D2">
      <w:pPr>
        <w:spacing w:before="120" w:after="120" w:line="240" w:lineRule="auto"/>
        <w:jc w:val="both"/>
        <w:rPr>
          <w:rFonts w:ascii="Verdana" w:eastAsia="Times New Roman" w:hAnsi="Verdana" w:cs="Times New Roman"/>
          <w:color w:val="000000" w:themeColor="text1"/>
          <w:lang w:eastAsia="es-ES"/>
        </w:rPr>
      </w:pPr>
    </w:p>
    <w:p w14:paraId="70B3F29B" w14:textId="77777777" w:rsidR="00BE71D2" w:rsidRPr="00BE71D2" w:rsidRDefault="00BE71D2" w:rsidP="00BE71D2">
      <w:pPr>
        <w:shd w:val="clear" w:color="auto" w:fill="FFFFFF"/>
        <w:spacing w:before="180" w:after="180" w:line="240" w:lineRule="auto"/>
        <w:jc w:val="both"/>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Este Observatorio se configura como foro de análisis y de evaluación de las actuaciones de los Poderes Judiciales en materia de evaluación del desempeño con perspectiva de salud profesional, así como de seguimiento de las políticas públicas en esta materia, mediante el diseño de un sistema de indicadores que permita dar respuesta a los requerimientos de información a nivel nacional e internacional.</w:t>
      </w:r>
    </w:p>
    <w:p w14:paraId="426F0EC8"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b/>
          <w:bCs/>
          <w:color w:val="000000" w:themeColor="text1"/>
          <w:lang w:eastAsia="es-ES"/>
        </w:rPr>
      </w:pPr>
      <w:r w:rsidRPr="00BE71D2">
        <w:rPr>
          <w:rFonts w:ascii="Verdana" w:eastAsia="Times New Roman" w:hAnsi="Verdana" w:cs="Times New Roman"/>
          <w:b/>
          <w:bCs/>
          <w:color w:val="000000" w:themeColor="text1"/>
          <w:lang w:eastAsia="es-ES"/>
        </w:rPr>
        <w:t>Artículo 1.</w:t>
      </w:r>
      <w:r w:rsidRPr="00BE71D2">
        <w:rPr>
          <w:rFonts w:ascii="Verdana" w:hAnsi="Verdana"/>
          <w:color w:val="000000" w:themeColor="text1"/>
          <w:lang w:eastAsia="es-ES"/>
        </w:rPr>
        <w:t> </w:t>
      </w:r>
      <w:r w:rsidRPr="00BE71D2">
        <w:rPr>
          <w:rFonts w:ascii="Verdana" w:eastAsia="Times New Roman" w:hAnsi="Verdana" w:cs="Times New Roman"/>
          <w:b/>
          <w:bCs/>
          <w:color w:val="000000" w:themeColor="text1"/>
          <w:lang w:eastAsia="es-ES"/>
        </w:rPr>
        <w:t>Objeto.</w:t>
      </w:r>
    </w:p>
    <w:p w14:paraId="3996ECD8"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hAnsi="Verdana"/>
          <w:color w:val="000000" w:themeColor="text1"/>
        </w:rPr>
        <w:t xml:space="preserve">1.El </w:t>
      </w:r>
      <w:r w:rsidRPr="00BE71D2">
        <w:rPr>
          <w:rFonts w:ascii="Verdana" w:hAnsi="Verdana"/>
          <w:b/>
          <w:bCs/>
          <w:color w:val="000000" w:themeColor="text1"/>
        </w:rPr>
        <w:t>Observatorio Iberoamericano de Evaluación de Desempeño Judicial</w:t>
      </w:r>
      <w:r w:rsidRPr="00BE71D2">
        <w:rPr>
          <w:rFonts w:ascii="Verdana" w:hAnsi="Verdana"/>
          <w:color w:val="000000" w:themeColor="text1"/>
        </w:rPr>
        <w:t xml:space="preserve"> </w:t>
      </w:r>
      <w:r w:rsidRPr="00BE71D2">
        <w:rPr>
          <w:rFonts w:ascii="Verdana" w:eastAsia="Times New Roman" w:hAnsi="Verdana" w:cs="Times New Roman"/>
          <w:color w:val="000000" w:themeColor="text1"/>
          <w:lang w:eastAsia="es-ES"/>
        </w:rPr>
        <w:t xml:space="preserve">tiene por objeto ser una valiosa herramienta de asesoramiento, </w:t>
      </w:r>
      <w:r w:rsidRPr="00BE71D2">
        <w:rPr>
          <w:rFonts w:ascii="Verdana" w:eastAsia="Times New Roman" w:hAnsi="Verdana" w:cs="Times New Roman"/>
          <w:color w:val="000000" w:themeColor="text1"/>
          <w:lang w:eastAsia="es-ES"/>
        </w:rPr>
        <w:lastRenderedPageBreak/>
        <w:t>evaluación, colaboración institucional, elaboración de informes y estudios, y propuestas de actuación en  materia de evaluación del desempeño con perspectiva de salud y bienestar de los miembros integrantes de la carrera judicial.</w:t>
      </w:r>
    </w:p>
    <w:p w14:paraId="6E08DA4E"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2.En este sentido, actúa como apoyo a los poderes judiciales en el desarrollo de sus actividades o estrategias con el objetivo de mejorar el proceso de evaluación del desempeño, así como ayudar a promover el bienestar judicial.</w:t>
      </w:r>
    </w:p>
    <w:p w14:paraId="64ABD93F"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3.El propósito es obtener una comprensión más profunda de las experiencias de los países que hacen parte de la Cumbre Judicial Iberoamericana en el área de evaluación del desempeño y del bienestar físico y mental de los jueces en relación con sus deberes y la independencia judiciales, incluyendo los desafíos enfrentados, el nivel de apoyo proporcionado por el poder judicial y las necesidades de los jueces en estas áreas.</w:t>
      </w:r>
    </w:p>
    <w:p w14:paraId="2FBA29EB"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b/>
          <w:bCs/>
          <w:color w:val="000000" w:themeColor="text1"/>
          <w:lang w:eastAsia="es-ES"/>
        </w:rPr>
      </w:pPr>
      <w:r w:rsidRPr="00BE71D2">
        <w:rPr>
          <w:rFonts w:ascii="Verdana" w:eastAsia="Times New Roman" w:hAnsi="Verdana" w:cs="Times New Roman"/>
          <w:b/>
          <w:bCs/>
          <w:color w:val="000000" w:themeColor="text1"/>
          <w:lang w:eastAsia="es-ES"/>
        </w:rPr>
        <w:t>Artículo 2.</w:t>
      </w:r>
      <w:r w:rsidRPr="00BE71D2">
        <w:rPr>
          <w:rFonts w:ascii="Verdana" w:hAnsi="Verdana"/>
          <w:color w:val="000000" w:themeColor="text1"/>
          <w:lang w:eastAsia="es-ES"/>
        </w:rPr>
        <w:t> </w:t>
      </w:r>
      <w:r w:rsidRPr="00BE71D2">
        <w:rPr>
          <w:rFonts w:ascii="Verdana" w:eastAsia="Times New Roman" w:hAnsi="Verdana" w:cs="Times New Roman"/>
          <w:b/>
          <w:bCs/>
          <w:color w:val="000000" w:themeColor="text1"/>
          <w:lang w:eastAsia="es-ES"/>
        </w:rPr>
        <w:t>Naturaleza.</w:t>
      </w:r>
    </w:p>
    <w:p w14:paraId="13E6E2A8"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 xml:space="preserve">1.El Observatorio tiene el carácter de órgano de investigación, estudio, asesoramiento y seguimiento del bienestar de los magistrados y magistradas, jueces y juezas de los poderes judiciales de Iberoamérica. </w:t>
      </w:r>
    </w:p>
    <w:p w14:paraId="1B92090C"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2.En este sentido, se caracteriza como un órgano comprometido con el establecimiento de mecanismos objetivos de medición del desempeño de los magistrados y magistradas de forma periódica y sistemática, capaces de identificar comportamientos que revelen la necesidad de asesorar a los países por problemas comunes, que puedan obstaculizar el ejercicio de la magistratura con estabilidad, independencia, excelencia y dignidad, para así conformar una administración de justicia eficiente y eficaz, como soporte fundamental del Estado de Derecho.</w:t>
      </w:r>
    </w:p>
    <w:p w14:paraId="4C71C5CF"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b/>
          <w:bCs/>
          <w:color w:val="000000" w:themeColor="text1"/>
          <w:lang w:eastAsia="es-ES"/>
        </w:rPr>
      </w:pPr>
      <w:r w:rsidRPr="00BE71D2">
        <w:rPr>
          <w:rFonts w:ascii="Verdana" w:eastAsia="Times New Roman" w:hAnsi="Verdana" w:cs="Times New Roman"/>
          <w:b/>
          <w:bCs/>
          <w:color w:val="000000" w:themeColor="text1"/>
          <w:lang w:eastAsia="es-ES"/>
        </w:rPr>
        <w:t>Artículo 3.</w:t>
      </w:r>
      <w:r w:rsidRPr="00BE71D2">
        <w:rPr>
          <w:rFonts w:ascii="Verdana" w:hAnsi="Verdana"/>
          <w:color w:val="000000" w:themeColor="text1"/>
          <w:lang w:eastAsia="es-ES"/>
        </w:rPr>
        <w:t> </w:t>
      </w:r>
      <w:r w:rsidRPr="00BE71D2">
        <w:rPr>
          <w:rFonts w:ascii="Verdana" w:eastAsia="Times New Roman" w:hAnsi="Verdana" w:cs="Times New Roman"/>
          <w:b/>
          <w:bCs/>
          <w:color w:val="000000" w:themeColor="text1"/>
          <w:lang w:eastAsia="es-ES"/>
        </w:rPr>
        <w:t>Funciones.</w:t>
      </w:r>
    </w:p>
    <w:p w14:paraId="43BE75BC"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1.El Observatorio tiene como función principal el estudio de las condiciones de salud y bienestar necesarias en los poderes judiciales de la Cumbre Judicial Iberoamericana para señalar mejoras y medidas de fortalecimiento de la carrera judicial para protegerlos de circunstancias que puedan comprometer el ejercicio de su misión y la calidad de sus decisiones.</w:t>
      </w:r>
    </w:p>
    <w:p w14:paraId="7CB77779"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2.Como funciones específicas:</w:t>
      </w:r>
    </w:p>
    <w:p w14:paraId="256F566B" w14:textId="77777777" w:rsidR="00BE71D2" w:rsidRPr="00BE71D2" w:rsidRDefault="00BE71D2" w:rsidP="00BE71D2">
      <w:pPr>
        <w:pStyle w:val="Prrafodelista"/>
        <w:numPr>
          <w:ilvl w:val="0"/>
          <w:numId w:val="2"/>
        </w:numPr>
        <w:shd w:val="clear" w:color="auto" w:fill="FFFFFF"/>
        <w:spacing w:before="360" w:after="180" w:line="240" w:lineRule="auto"/>
        <w:jc w:val="both"/>
        <w:outlineLvl w:val="4"/>
        <w:rPr>
          <w:rFonts w:eastAsia="Times New Roman" w:cs="Times New Roman"/>
          <w:color w:val="000000" w:themeColor="text1"/>
          <w:szCs w:val="22"/>
          <w:lang w:val="es-ES" w:eastAsia="es-ES"/>
        </w:rPr>
      </w:pPr>
      <w:r w:rsidRPr="00BE71D2">
        <w:rPr>
          <w:rFonts w:eastAsia="Times New Roman" w:cs="Times New Roman"/>
          <w:color w:val="000000" w:themeColor="text1"/>
          <w:szCs w:val="22"/>
          <w:lang w:val="es-ES" w:eastAsia="es-ES"/>
        </w:rPr>
        <w:lastRenderedPageBreak/>
        <w:t>Establecer un instrumento común de evaluación del desempeño de los jueces de iberoamerica;</w:t>
      </w:r>
    </w:p>
    <w:p w14:paraId="3B530B48" w14:textId="77777777" w:rsidR="00BE71D2" w:rsidRPr="00BE71D2" w:rsidRDefault="00BE71D2" w:rsidP="00BE71D2">
      <w:pPr>
        <w:pStyle w:val="Prrafodelista"/>
        <w:shd w:val="clear" w:color="auto" w:fill="FFFFFF"/>
        <w:spacing w:before="360" w:after="180" w:line="240" w:lineRule="auto"/>
        <w:jc w:val="both"/>
        <w:outlineLvl w:val="4"/>
        <w:rPr>
          <w:rFonts w:eastAsia="Times New Roman" w:cs="Times New Roman"/>
          <w:color w:val="000000" w:themeColor="text1"/>
          <w:szCs w:val="22"/>
          <w:lang w:val="es-ES" w:eastAsia="es-ES"/>
        </w:rPr>
      </w:pPr>
    </w:p>
    <w:p w14:paraId="7BE49CC6" w14:textId="77777777" w:rsidR="00BE71D2" w:rsidRPr="00BE71D2" w:rsidRDefault="00BE71D2" w:rsidP="00BE71D2">
      <w:pPr>
        <w:pStyle w:val="Prrafodelista"/>
        <w:numPr>
          <w:ilvl w:val="0"/>
          <w:numId w:val="2"/>
        </w:numPr>
        <w:shd w:val="clear" w:color="auto" w:fill="FFFFFF"/>
        <w:spacing w:before="360" w:after="180" w:line="240" w:lineRule="auto"/>
        <w:jc w:val="both"/>
        <w:outlineLvl w:val="4"/>
        <w:rPr>
          <w:rFonts w:eastAsia="Times New Roman" w:cs="Times New Roman"/>
          <w:color w:val="000000" w:themeColor="text1"/>
          <w:szCs w:val="22"/>
          <w:lang w:val="es-ES" w:eastAsia="es-ES"/>
        </w:rPr>
      </w:pPr>
      <w:r w:rsidRPr="00BE71D2">
        <w:rPr>
          <w:rFonts w:eastAsia="Times New Roman" w:cs="Times New Roman"/>
          <w:color w:val="000000" w:themeColor="text1"/>
          <w:szCs w:val="22"/>
          <w:lang w:val="es-ES" w:eastAsia="es-ES"/>
        </w:rPr>
        <w:t>Desarrollar métodos de investigación periódica y estudio a través de la productividad cuantitativa y cualitativa de los jueces de Iberoamérica;</w:t>
      </w:r>
    </w:p>
    <w:p w14:paraId="0C5F4D0C" w14:textId="77777777" w:rsidR="00BE71D2" w:rsidRPr="00BE71D2" w:rsidRDefault="00BE71D2" w:rsidP="00BE71D2">
      <w:pPr>
        <w:pStyle w:val="Prrafodelista"/>
        <w:rPr>
          <w:rFonts w:eastAsia="Times New Roman" w:cs="Times New Roman"/>
          <w:color w:val="000000" w:themeColor="text1"/>
          <w:szCs w:val="22"/>
          <w:lang w:val="es-ES" w:eastAsia="es-ES"/>
        </w:rPr>
      </w:pPr>
    </w:p>
    <w:p w14:paraId="3F1B753D" w14:textId="77777777" w:rsidR="00BE71D2" w:rsidRPr="00BE71D2" w:rsidRDefault="00BE71D2" w:rsidP="00BE71D2">
      <w:pPr>
        <w:pStyle w:val="Prrafodelista"/>
        <w:rPr>
          <w:rFonts w:eastAsia="Times New Roman" w:cs="Times New Roman"/>
          <w:color w:val="000000" w:themeColor="text1"/>
          <w:szCs w:val="22"/>
          <w:lang w:val="es-ES" w:eastAsia="es-ES"/>
        </w:rPr>
      </w:pPr>
    </w:p>
    <w:p w14:paraId="1B6D81A0" w14:textId="77777777" w:rsidR="00BE71D2" w:rsidRPr="00BE71D2" w:rsidRDefault="00BE71D2" w:rsidP="00BE71D2">
      <w:pPr>
        <w:pStyle w:val="Prrafodelista"/>
        <w:numPr>
          <w:ilvl w:val="0"/>
          <w:numId w:val="2"/>
        </w:numPr>
        <w:shd w:val="clear" w:color="auto" w:fill="FFFFFF"/>
        <w:spacing w:before="360" w:after="180" w:line="240" w:lineRule="auto"/>
        <w:jc w:val="both"/>
        <w:outlineLvl w:val="4"/>
        <w:rPr>
          <w:rFonts w:eastAsia="Times New Roman" w:cs="Times New Roman"/>
          <w:color w:val="000000" w:themeColor="text1"/>
          <w:szCs w:val="22"/>
          <w:lang w:val="es-ES" w:eastAsia="es-ES"/>
        </w:rPr>
      </w:pPr>
      <w:r w:rsidRPr="00BE71D2">
        <w:rPr>
          <w:rFonts w:eastAsia="Times New Roman" w:cs="Times New Roman"/>
          <w:color w:val="000000" w:themeColor="text1"/>
          <w:szCs w:val="22"/>
          <w:lang w:val="es-ES" w:eastAsia="es-ES"/>
        </w:rPr>
        <w:t>Sugerir mejoras, simultáneamente con los órganos de cada país, para establecer estándares mínimos de salud y bienestar a los jueces de Iberoamérica;</w:t>
      </w:r>
    </w:p>
    <w:p w14:paraId="53129025" w14:textId="77777777" w:rsidR="00BE71D2" w:rsidRPr="00BE71D2" w:rsidRDefault="00BE71D2" w:rsidP="00BE71D2">
      <w:pPr>
        <w:pStyle w:val="Prrafodelista"/>
        <w:shd w:val="clear" w:color="auto" w:fill="FFFFFF"/>
        <w:spacing w:before="360" w:after="180" w:line="240" w:lineRule="auto"/>
        <w:jc w:val="both"/>
        <w:outlineLvl w:val="4"/>
        <w:rPr>
          <w:rFonts w:eastAsia="Times New Roman" w:cs="Times New Roman"/>
          <w:color w:val="000000" w:themeColor="text1"/>
          <w:szCs w:val="22"/>
          <w:lang w:val="es-ES" w:eastAsia="es-ES"/>
        </w:rPr>
      </w:pPr>
    </w:p>
    <w:p w14:paraId="0A30BE0D" w14:textId="77777777" w:rsidR="00BE71D2" w:rsidRPr="00BE71D2" w:rsidRDefault="00BE71D2" w:rsidP="00BE71D2">
      <w:pPr>
        <w:pStyle w:val="Prrafodelista"/>
        <w:numPr>
          <w:ilvl w:val="0"/>
          <w:numId w:val="2"/>
        </w:numPr>
        <w:shd w:val="clear" w:color="auto" w:fill="FFFFFF"/>
        <w:spacing w:before="360" w:after="180" w:line="240" w:lineRule="auto"/>
        <w:jc w:val="both"/>
        <w:outlineLvl w:val="4"/>
        <w:rPr>
          <w:rFonts w:eastAsia="Times New Roman" w:cs="Times New Roman"/>
          <w:color w:val="000000" w:themeColor="text1"/>
          <w:szCs w:val="22"/>
          <w:lang w:val="es-ES" w:eastAsia="es-ES"/>
        </w:rPr>
      </w:pPr>
      <w:r w:rsidRPr="00BE71D2">
        <w:rPr>
          <w:rFonts w:eastAsia="Times New Roman" w:cs="Times New Roman"/>
          <w:color w:val="000000" w:themeColor="text1"/>
          <w:szCs w:val="22"/>
          <w:lang w:val="es-ES" w:eastAsia="es-ES"/>
        </w:rPr>
        <w:t>Promover oportunidades de debate de ideas entre los poderes judiciales u otros actores involucrados en la administración de la justicia, a través del diálogo virtual o presencial, con miras a la participación de los países y el intercambio de conocimientos y el apoyo mutuo;</w:t>
      </w:r>
    </w:p>
    <w:p w14:paraId="0AF7ADB3" w14:textId="77777777" w:rsidR="00BE71D2" w:rsidRPr="00BE71D2" w:rsidRDefault="00BE71D2" w:rsidP="00BE71D2">
      <w:pPr>
        <w:pStyle w:val="Prrafodelista"/>
        <w:rPr>
          <w:rFonts w:eastAsia="Times New Roman" w:cs="Times New Roman"/>
          <w:color w:val="000000" w:themeColor="text1"/>
          <w:szCs w:val="22"/>
          <w:lang w:val="es-ES" w:eastAsia="es-ES"/>
        </w:rPr>
      </w:pPr>
    </w:p>
    <w:p w14:paraId="5ACF6F9D" w14:textId="4D8F98B7" w:rsidR="00BE71D2" w:rsidRPr="00BE71D2" w:rsidRDefault="00BE71D2" w:rsidP="00BE71D2">
      <w:pPr>
        <w:pStyle w:val="Prrafodelista"/>
        <w:numPr>
          <w:ilvl w:val="0"/>
          <w:numId w:val="2"/>
        </w:numPr>
        <w:shd w:val="clear" w:color="auto" w:fill="FFFFFF"/>
        <w:spacing w:before="360" w:after="180" w:line="240" w:lineRule="auto"/>
        <w:jc w:val="both"/>
        <w:outlineLvl w:val="4"/>
        <w:rPr>
          <w:rFonts w:eastAsia="Times New Roman" w:cs="Times New Roman"/>
          <w:color w:val="000000" w:themeColor="text1"/>
          <w:szCs w:val="22"/>
          <w:lang w:val="es-ES" w:eastAsia="es-ES"/>
        </w:rPr>
      </w:pPr>
      <w:r w:rsidRPr="00BE71D2">
        <w:rPr>
          <w:rFonts w:eastAsia="Times New Roman" w:cs="Times New Roman"/>
          <w:color w:val="000000" w:themeColor="text1"/>
          <w:szCs w:val="22"/>
          <w:lang w:val="es-ES" w:eastAsia="es-ES"/>
        </w:rPr>
        <w:t>Actuar para fortalecer los poderes judiciales de Iberoamérica, para que brinden a los jueces y magistrados las condiciones de protección mínima que garantice su dignidad, salud y bienestar;</w:t>
      </w:r>
    </w:p>
    <w:p w14:paraId="62F9ADBA" w14:textId="77777777" w:rsidR="00BE71D2" w:rsidRPr="00BE71D2" w:rsidRDefault="00BE71D2" w:rsidP="00BE71D2">
      <w:pPr>
        <w:pStyle w:val="Prrafodelista"/>
        <w:rPr>
          <w:rFonts w:eastAsia="Times New Roman" w:cs="Times New Roman"/>
          <w:color w:val="000000" w:themeColor="text1"/>
          <w:szCs w:val="22"/>
          <w:lang w:val="es-ES" w:eastAsia="es-ES"/>
        </w:rPr>
      </w:pPr>
    </w:p>
    <w:p w14:paraId="1F8AB4A7" w14:textId="22C049BE" w:rsidR="00BE71D2" w:rsidRPr="00BE71D2" w:rsidRDefault="00BE71D2" w:rsidP="00BE71D2">
      <w:pPr>
        <w:pStyle w:val="Prrafodelista"/>
        <w:numPr>
          <w:ilvl w:val="0"/>
          <w:numId w:val="2"/>
        </w:numPr>
        <w:shd w:val="clear" w:color="auto" w:fill="FFFFFF"/>
        <w:spacing w:before="360" w:after="180" w:line="240" w:lineRule="auto"/>
        <w:jc w:val="both"/>
        <w:outlineLvl w:val="4"/>
        <w:rPr>
          <w:rFonts w:eastAsia="Times New Roman" w:cs="Times New Roman"/>
          <w:color w:val="000000" w:themeColor="text1"/>
          <w:szCs w:val="22"/>
          <w:lang w:val="es-ES" w:eastAsia="es-ES"/>
        </w:rPr>
      </w:pPr>
      <w:r w:rsidRPr="00BE71D2">
        <w:rPr>
          <w:rFonts w:eastAsia="Times New Roman" w:cs="Times New Roman"/>
          <w:color w:val="000000" w:themeColor="text1"/>
          <w:szCs w:val="22"/>
          <w:lang w:val="es-ES" w:eastAsia="es-ES"/>
        </w:rPr>
        <w:t>Ayudar a identificar pontos de mejora de las condiciones de salud y bienestar de los jueces</w:t>
      </w:r>
      <w:r>
        <w:rPr>
          <w:rFonts w:eastAsia="Times New Roman" w:cs="Times New Roman"/>
          <w:color w:val="000000" w:themeColor="text1"/>
          <w:szCs w:val="22"/>
          <w:lang w:val="es-ES" w:eastAsia="es-ES"/>
        </w:rPr>
        <w:t>/as</w:t>
      </w:r>
      <w:r w:rsidRPr="00BE71D2">
        <w:rPr>
          <w:rFonts w:eastAsia="Times New Roman" w:cs="Times New Roman"/>
          <w:color w:val="000000" w:themeColor="text1"/>
          <w:szCs w:val="22"/>
          <w:lang w:val="es-ES" w:eastAsia="es-ES"/>
        </w:rPr>
        <w:t xml:space="preserve"> de Iberoamérica;</w:t>
      </w:r>
    </w:p>
    <w:p w14:paraId="27413CB7" w14:textId="77777777" w:rsidR="00BE71D2" w:rsidRPr="00BE71D2" w:rsidRDefault="00BE71D2" w:rsidP="00BE71D2">
      <w:pPr>
        <w:pStyle w:val="Prrafodelista"/>
        <w:rPr>
          <w:rFonts w:eastAsia="Times New Roman" w:cs="Times New Roman"/>
          <w:color w:val="000000" w:themeColor="text1"/>
          <w:szCs w:val="22"/>
          <w:lang w:val="es-ES" w:eastAsia="es-ES"/>
        </w:rPr>
      </w:pPr>
    </w:p>
    <w:p w14:paraId="0CC30E5A" w14:textId="50101868" w:rsidR="00BE71D2" w:rsidRPr="00BE71D2" w:rsidRDefault="00BE71D2" w:rsidP="00BE71D2">
      <w:pPr>
        <w:pStyle w:val="Prrafodelista"/>
        <w:numPr>
          <w:ilvl w:val="0"/>
          <w:numId w:val="2"/>
        </w:numPr>
        <w:shd w:val="clear" w:color="auto" w:fill="FFFFFF"/>
        <w:spacing w:before="360" w:after="180" w:line="240" w:lineRule="auto"/>
        <w:jc w:val="both"/>
        <w:outlineLvl w:val="4"/>
        <w:rPr>
          <w:rFonts w:eastAsia="Times New Roman" w:cs="Times New Roman"/>
          <w:color w:val="000000" w:themeColor="text1"/>
          <w:szCs w:val="22"/>
          <w:lang w:val="es-ES" w:eastAsia="es-ES"/>
        </w:rPr>
      </w:pPr>
      <w:r w:rsidRPr="00BE71D2">
        <w:rPr>
          <w:rFonts w:eastAsia="Times New Roman" w:cs="Times New Roman"/>
          <w:color w:val="000000" w:themeColor="text1"/>
          <w:szCs w:val="22"/>
          <w:lang w:val="es-ES" w:eastAsia="es-ES"/>
        </w:rPr>
        <w:t>Facilitar la identificación de las necesidades de asesoramiento en materia de salud y bienestar a los poderes judiciales de Iberoamérica.</w:t>
      </w:r>
    </w:p>
    <w:p w14:paraId="320A4C51"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b/>
          <w:bCs/>
          <w:color w:val="000000" w:themeColor="text1"/>
          <w:lang w:eastAsia="es-ES"/>
        </w:rPr>
      </w:pPr>
      <w:r w:rsidRPr="00BE71D2">
        <w:rPr>
          <w:rFonts w:ascii="Verdana" w:eastAsia="Times New Roman" w:hAnsi="Verdana" w:cs="Times New Roman"/>
          <w:b/>
          <w:bCs/>
          <w:color w:val="000000" w:themeColor="text1"/>
          <w:lang w:eastAsia="es-ES"/>
        </w:rPr>
        <w:t>Artículo 4.</w:t>
      </w:r>
      <w:r w:rsidRPr="00BE71D2">
        <w:rPr>
          <w:rFonts w:ascii="Verdana" w:hAnsi="Verdana"/>
          <w:color w:val="000000" w:themeColor="text1"/>
          <w:lang w:eastAsia="es-ES"/>
        </w:rPr>
        <w:t> </w:t>
      </w:r>
      <w:r w:rsidRPr="00BE71D2">
        <w:rPr>
          <w:rFonts w:ascii="Verdana" w:eastAsia="Times New Roman" w:hAnsi="Verdana" w:cs="Times New Roman"/>
          <w:b/>
          <w:bCs/>
          <w:color w:val="000000" w:themeColor="text1"/>
          <w:lang w:eastAsia="es-ES"/>
        </w:rPr>
        <w:t>Composición.</w:t>
      </w:r>
    </w:p>
    <w:p w14:paraId="1B82A549"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1.</w:t>
      </w:r>
      <w:r w:rsidRPr="00BE71D2">
        <w:rPr>
          <w:rFonts w:ascii="Verdana" w:eastAsia="Times New Roman" w:hAnsi="Verdana" w:cs="Times New Roman"/>
          <w:color w:val="000000" w:themeColor="text1"/>
          <w:kern w:val="0"/>
          <w:lang w:val="pt-BR" w:eastAsia="es-ES"/>
          <w14:ligatures w14:val="none"/>
        </w:rPr>
        <w:t xml:space="preserve">El </w:t>
      </w:r>
      <w:r w:rsidRPr="00BE71D2">
        <w:rPr>
          <w:rFonts w:ascii="Verdana" w:eastAsiaTheme="minorEastAsia" w:hAnsi="Verdana"/>
          <w:b/>
          <w:bCs/>
          <w:color w:val="000000" w:themeColor="text1"/>
          <w:kern w:val="0"/>
          <w:lang w:val="pt-BR"/>
          <w14:ligatures w14:val="none"/>
        </w:rPr>
        <w:t xml:space="preserve">Observatorio </w:t>
      </w:r>
      <w:r w:rsidRPr="00BE71D2">
        <w:rPr>
          <w:rFonts w:ascii="Verdana" w:hAnsi="Verdana"/>
          <w:b/>
          <w:bCs/>
          <w:color w:val="000000" w:themeColor="text1"/>
        </w:rPr>
        <w:t>está compuesto</w:t>
      </w:r>
      <w:r w:rsidRPr="00BE71D2">
        <w:rPr>
          <w:rFonts w:ascii="Verdana" w:eastAsia="Times New Roman" w:hAnsi="Verdana" w:cs="Times New Roman"/>
          <w:color w:val="000000" w:themeColor="text1"/>
          <w:kern w:val="0"/>
          <w:lang w:val="pt-BR" w:eastAsia="es-ES"/>
          <w14:ligatures w14:val="none"/>
        </w:rPr>
        <w:t xml:space="preserve"> por los siguientes miembros </w:t>
      </w:r>
      <w:r w:rsidRPr="00BE71D2">
        <w:rPr>
          <w:rFonts w:ascii="Verdana" w:eastAsia="Times New Roman" w:hAnsi="Verdana" w:cs="Times New Roman"/>
          <w:color w:val="000000" w:themeColor="text1"/>
          <w:lang w:eastAsia="es-ES"/>
        </w:rPr>
        <w:t>1 juez(a) o magistrado(a), designado del Poder Judicial (Corte Suprema o Supremo Tribunal) de cada país miembro de la Cumbre Judicial Iberoamericana, ;1 juez(a) o magistrado(a), representante del Consejo de la Judicatura de cada país miembro de la Cumbre Judicial Iberoamericana;</w:t>
      </w:r>
    </w:p>
    <w:p w14:paraId="37F848E1" w14:textId="5B59B50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2. La convocatoria de todas las personas que componen el Observatorio integrarán el Plenario del mismo.</w:t>
      </w:r>
    </w:p>
    <w:p w14:paraId="4B10AA11" w14:textId="642F16E5"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b/>
          <w:bCs/>
          <w:color w:val="000000" w:themeColor="text1"/>
          <w:lang w:eastAsia="es-ES"/>
        </w:rPr>
      </w:pPr>
      <w:r w:rsidRPr="00BE71D2">
        <w:rPr>
          <w:rFonts w:ascii="Verdana" w:eastAsia="Times New Roman" w:hAnsi="Verdana" w:cs="Times New Roman"/>
          <w:b/>
          <w:bCs/>
          <w:color w:val="000000" w:themeColor="text1"/>
          <w:lang w:eastAsia="es-ES"/>
        </w:rPr>
        <w:t>Artículo 5.</w:t>
      </w:r>
      <w:r w:rsidRPr="00BE71D2">
        <w:rPr>
          <w:rFonts w:ascii="Verdana" w:hAnsi="Verdana"/>
          <w:color w:val="000000" w:themeColor="text1"/>
          <w:lang w:eastAsia="es-ES"/>
        </w:rPr>
        <w:t> </w:t>
      </w:r>
      <w:r w:rsidRPr="00BE71D2" w:rsidDel="009B166E">
        <w:rPr>
          <w:rFonts w:ascii="Verdana" w:eastAsia="Times New Roman" w:hAnsi="Verdana" w:cs="Times New Roman"/>
          <w:b/>
          <w:bCs/>
          <w:color w:val="000000" w:themeColor="text1"/>
          <w:lang w:eastAsia="es-ES"/>
        </w:rPr>
        <w:t xml:space="preserve"> </w:t>
      </w:r>
      <w:r w:rsidRPr="00BE71D2">
        <w:rPr>
          <w:rFonts w:ascii="Verdana" w:eastAsia="Times New Roman" w:hAnsi="Verdana" w:cs="Times New Roman"/>
          <w:b/>
          <w:bCs/>
          <w:color w:val="000000" w:themeColor="text1"/>
          <w:lang w:eastAsia="es-ES"/>
        </w:rPr>
        <w:t xml:space="preserve">Mandato, cese y condiciones que han de reunir los/as integrantes del Observatorio </w:t>
      </w:r>
    </w:p>
    <w:p w14:paraId="59592F35"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p>
    <w:p w14:paraId="4D74E6B6"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 xml:space="preserve">1.Los/as integrantes del </w:t>
      </w:r>
      <w:r w:rsidRPr="00BE71D2">
        <w:rPr>
          <w:rFonts w:ascii="Verdana" w:hAnsi="Verdana"/>
          <w:b/>
          <w:bCs/>
          <w:color w:val="000000" w:themeColor="text1"/>
        </w:rPr>
        <w:t xml:space="preserve">Observatorio </w:t>
      </w:r>
      <w:r w:rsidRPr="00BE71D2">
        <w:rPr>
          <w:rFonts w:ascii="Verdana" w:eastAsia="Times New Roman" w:hAnsi="Verdana" w:cs="Times New Roman"/>
          <w:color w:val="000000" w:themeColor="text1"/>
          <w:lang w:eastAsia="es-ES"/>
        </w:rPr>
        <w:t xml:space="preserve">serán designados por los Tribunales o Cortes  Supremas y  Consejos de la Judicatura de cada país. Los/as representantes de las comisiones serán designados por cada comisión. </w:t>
      </w:r>
    </w:p>
    <w:p w14:paraId="18C3A185"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 xml:space="preserve">2. </w:t>
      </w:r>
      <w:r w:rsidRPr="00BE71D2">
        <w:rPr>
          <w:rFonts w:ascii="Verdana" w:hAnsi="Verdana"/>
        </w:rPr>
        <w:t>Los/as  designados/as candidatos para integrar el Observatorio deberán estar vinculados directa o indirectamente con el quehacer judicial, contar con una amplia trayectoria profesional y gozar de reconocido prestigio y experiencia en materia de protección social y de condiciones de trabajo  de los integrantes del Poder Judicial.</w:t>
      </w:r>
    </w:p>
    <w:p w14:paraId="24183725"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 xml:space="preserve">3.El mandato será de 2 años, renovable por igual procedimiento y, en todo caso, coincidente con el periodo de renovación de las Comisiones permanentes </w:t>
      </w:r>
      <w:bookmarkStart w:id="0" w:name="_Hlk136448013"/>
      <w:r w:rsidRPr="00BE71D2">
        <w:rPr>
          <w:rFonts w:ascii="Verdana" w:eastAsia="Times New Roman" w:hAnsi="Verdana" w:cs="Times New Roman"/>
          <w:color w:val="000000" w:themeColor="text1"/>
          <w:lang w:eastAsia="es-ES"/>
        </w:rPr>
        <w:t>en la Asamblea Plenaria de la edición que corresponda de la Cumbre Judicial.</w:t>
      </w:r>
      <w:bookmarkEnd w:id="0"/>
    </w:p>
    <w:p w14:paraId="50085963"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b/>
          <w:bCs/>
          <w:color w:val="000000" w:themeColor="text1"/>
          <w:lang w:eastAsia="es-ES"/>
        </w:rPr>
      </w:pPr>
      <w:r w:rsidRPr="00BE71D2">
        <w:rPr>
          <w:rFonts w:ascii="Verdana" w:eastAsia="Times New Roman" w:hAnsi="Verdana" w:cs="Times New Roman"/>
          <w:b/>
          <w:bCs/>
          <w:color w:val="000000" w:themeColor="text1"/>
          <w:kern w:val="0"/>
          <w:lang w:eastAsia="es-ES"/>
          <w14:ligatures w14:val="none"/>
        </w:rPr>
        <w:t>Artículo 6.</w:t>
      </w:r>
      <w:r w:rsidRPr="00BE71D2">
        <w:rPr>
          <w:rFonts w:ascii="Verdana" w:hAnsi="Verdana"/>
          <w:color w:val="000000" w:themeColor="text1"/>
          <w:lang w:eastAsia="es-ES"/>
        </w:rPr>
        <w:t> </w:t>
      </w:r>
      <w:r w:rsidRPr="00BE71D2">
        <w:rPr>
          <w:rFonts w:ascii="Verdana" w:eastAsia="Times New Roman" w:hAnsi="Verdana" w:cs="Times New Roman"/>
          <w:b/>
          <w:bCs/>
          <w:color w:val="000000" w:themeColor="text1"/>
          <w:kern w:val="0"/>
          <w:lang w:eastAsia="es-ES"/>
          <w14:ligatures w14:val="none"/>
        </w:rPr>
        <w:t>Funcionamiento: estatutos y estructura orgánica</w:t>
      </w:r>
    </w:p>
    <w:p w14:paraId="6B5A07B9" w14:textId="77777777" w:rsidR="00BE71D2" w:rsidRPr="00BE71D2" w:rsidRDefault="00BE71D2" w:rsidP="00BE71D2">
      <w:pPr>
        <w:shd w:val="clear" w:color="auto" w:fill="FFFFFF"/>
        <w:spacing w:before="360" w:after="180" w:line="240" w:lineRule="auto"/>
        <w:jc w:val="both"/>
        <w:outlineLvl w:val="4"/>
        <w:rPr>
          <w:rFonts w:ascii="Verdana" w:hAnsi="Verdana"/>
          <w:color w:val="000000" w:themeColor="text1"/>
        </w:rPr>
      </w:pPr>
      <w:r w:rsidRPr="00BE71D2">
        <w:rPr>
          <w:rFonts w:ascii="Verdana" w:eastAsia="Times New Roman" w:hAnsi="Verdana" w:cs="Times New Roman"/>
          <w:color w:val="000000" w:themeColor="text1"/>
          <w:lang w:eastAsia="es-ES"/>
        </w:rPr>
        <w:t xml:space="preserve">1.El </w:t>
      </w:r>
      <w:r w:rsidRPr="00BE71D2">
        <w:rPr>
          <w:rFonts w:ascii="Verdana" w:hAnsi="Verdana"/>
          <w:color w:val="000000" w:themeColor="text1"/>
        </w:rPr>
        <w:t xml:space="preserve">Observatorio se regirá por un estatuto que será objeto de aprobación por el Plenario.  </w:t>
      </w:r>
    </w:p>
    <w:p w14:paraId="77E73F76"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hAnsi="Verdana"/>
          <w:color w:val="000000" w:themeColor="text1"/>
        </w:rPr>
        <w:t xml:space="preserve">2.Los órganos del Observatorio </w:t>
      </w:r>
      <w:r w:rsidRPr="00BE71D2">
        <w:rPr>
          <w:rFonts w:ascii="Verdana" w:eastAsia="Times New Roman" w:hAnsi="Verdana" w:cs="Times New Roman"/>
          <w:color w:val="000000" w:themeColor="text1"/>
          <w:lang w:eastAsia="es-ES"/>
        </w:rPr>
        <w:t xml:space="preserve"> son Comisión Ejecutiva de Coordinación Permanente, el Plenario y la Secretaria de dicha Comisión. Funcionarán  de acuerdo con sus Estatutos y normas regulatorias.</w:t>
      </w:r>
    </w:p>
    <w:p w14:paraId="7D7A8A6C"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bookmarkStart w:id="1" w:name="_Hlk136448060"/>
      <w:r w:rsidRPr="00BE71D2">
        <w:rPr>
          <w:rFonts w:ascii="Verdana" w:eastAsia="Times New Roman" w:hAnsi="Verdana" w:cs="Times New Roman"/>
          <w:color w:val="000000" w:themeColor="text1"/>
          <w:lang w:eastAsia="es-ES"/>
        </w:rPr>
        <w:t xml:space="preserve">3.La Comisión ejecutiva estará formada por  8 integrantes del Plenario , electos por mayoría entre sus miembros para un mandato de 2 años, y en todo caso, coincidente con el periodo de renovación de las Comisiones permanentes en la Asamblea Plenaria de la edición que corresponda de la Cumbre Judicial. </w:t>
      </w:r>
    </w:p>
    <w:p w14:paraId="611D5B7A"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 xml:space="preserve"> 4.La Comisión ejecutiva designará  a uno de sus miembros que actuará   como Secretaria. Su mandato durará el mismo tiempo que  el de los integrantes de la Comisión Ejecutiva.</w:t>
      </w:r>
      <w:bookmarkEnd w:id="1"/>
    </w:p>
    <w:p w14:paraId="3E4B361B"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5.La convocatoria del Plenario corresponderá a la Secretaria ejecutiva, a instancia de la mayoría de la Comisión ejecutiva o de un tercio de componentes del Observatorio. 6.La Secretaria informará sobre las consultas recibidas e informes periódicos a la Comisión Ejecutiva para divulgación, según corresponda, a la Secretaria Permanente de la Cumbre Judicial Iberoamericana y sus países miembros.</w:t>
      </w:r>
    </w:p>
    <w:p w14:paraId="66677B07"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b/>
          <w:bCs/>
          <w:color w:val="000000" w:themeColor="text1"/>
          <w:lang w:eastAsia="es-ES"/>
        </w:rPr>
      </w:pPr>
      <w:r w:rsidRPr="00BE71D2">
        <w:rPr>
          <w:rFonts w:ascii="Verdana" w:eastAsia="Times New Roman" w:hAnsi="Verdana" w:cs="Times New Roman"/>
          <w:b/>
          <w:bCs/>
          <w:color w:val="000000" w:themeColor="text1"/>
          <w:lang w:eastAsia="es-ES"/>
        </w:rPr>
        <w:lastRenderedPageBreak/>
        <w:t xml:space="preserve">Artículo 7.  Observadores </w:t>
      </w:r>
    </w:p>
    <w:p w14:paraId="2AE7B7DA"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Podrán intervenir como observadores en las sesiones de la Comisión ejecutiva y en el Plenario del Observatorios un miembro por cada una de las siguientes Comisiones: Comisión de Coordinación y Seguimiento Comisión de Calidad para la Justicia; miembro de la Comisión de Género y Acceso a la Justicia; Comisión de Ética Judicial.</w:t>
      </w:r>
    </w:p>
    <w:p w14:paraId="1684E6C9"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p>
    <w:p w14:paraId="03967687"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b/>
          <w:bCs/>
          <w:color w:val="000000" w:themeColor="text1"/>
          <w:lang w:eastAsia="es-ES"/>
        </w:rPr>
      </w:pPr>
      <w:r w:rsidRPr="00BE71D2">
        <w:rPr>
          <w:rFonts w:ascii="Verdana" w:eastAsia="Times New Roman" w:hAnsi="Verdana" w:cs="Times New Roman"/>
          <w:b/>
          <w:bCs/>
          <w:color w:val="000000" w:themeColor="text1"/>
          <w:lang w:eastAsia="es-ES"/>
        </w:rPr>
        <w:t>Artículo 8. Relaciones con la Comisión permanente de Coordinación y Seguimiento de la Cumbre Judicial Iberoamericana</w:t>
      </w:r>
    </w:p>
    <w:p w14:paraId="3E4DD3CA"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 xml:space="preserve">1.El Plenario del </w:t>
      </w:r>
      <w:r w:rsidRPr="00BE71D2">
        <w:rPr>
          <w:rFonts w:ascii="Verdana" w:hAnsi="Verdana"/>
          <w:b/>
          <w:bCs/>
          <w:color w:val="000000" w:themeColor="text1"/>
        </w:rPr>
        <w:t xml:space="preserve">Observatorio </w:t>
      </w:r>
      <w:r w:rsidRPr="00BE71D2">
        <w:rPr>
          <w:rFonts w:ascii="Verdana" w:eastAsia="Times New Roman" w:hAnsi="Verdana" w:cs="Times New Roman"/>
          <w:color w:val="000000" w:themeColor="text1"/>
          <w:lang w:eastAsia="es-ES"/>
        </w:rPr>
        <w:t xml:space="preserve">se reunirá al menos una vez al año, de manera presencial o virtual, para debatir sobre la salud y bienestar de los jueces iberoamericanos, decidir sobre el cumplimiento de sus funciones y la consecución de sus objetivos institucionales. </w:t>
      </w:r>
    </w:p>
    <w:p w14:paraId="4AC2AF71"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 xml:space="preserve">2.La Comisión ejecutiva se reunirá, al menos, semestralmente de manera ordinaria, bajo modalidad presencial o virtual. También podrá hacerlo de manera extraordinaria cuando lo pidan la mayoría de sus componentes </w:t>
      </w:r>
    </w:p>
    <w:p w14:paraId="29D171B2"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 xml:space="preserve">3.El </w:t>
      </w:r>
      <w:r w:rsidRPr="00BE71D2">
        <w:rPr>
          <w:rFonts w:ascii="Verdana" w:hAnsi="Verdana"/>
          <w:b/>
          <w:bCs/>
          <w:color w:val="000000" w:themeColor="text1"/>
        </w:rPr>
        <w:t xml:space="preserve">Observatorio </w:t>
      </w:r>
      <w:r w:rsidRPr="00BE71D2">
        <w:rPr>
          <w:rFonts w:ascii="Verdana" w:eastAsia="Times New Roman" w:hAnsi="Verdana" w:cs="Times New Roman"/>
          <w:color w:val="000000" w:themeColor="text1"/>
          <w:lang w:eastAsia="es-ES"/>
        </w:rPr>
        <w:t>establecerá en su Estatuto el modo de actuación, asesoramiento e investigación sobre la salud y bienestar de los jueces iberoamericanos, principalmente a través de cuestionarios de evaluación de desempeño, por medio de planificación y establecimiento de metas, en conjunto con los poderes judiciales, y por la impartición de cursos, seminarios y conferencias sobre el tema.</w:t>
      </w:r>
    </w:p>
    <w:p w14:paraId="630385DD"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 xml:space="preserve">3.El </w:t>
      </w:r>
      <w:r w:rsidRPr="00BE71D2">
        <w:rPr>
          <w:rFonts w:ascii="Verdana" w:hAnsi="Verdana"/>
          <w:b/>
          <w:bCs/>
          <w:color w:val="000000" w:themeColor="text1"/>
        </w:rPr>
        <w:t xml:space="preserve">Observatorio </w:t>
      </w:r>
      <w:r w:rsidRPr="00BE71D2">
        <w:rPr>
          <w:rFonts w:ascii="Verdana" w:eastAsia="Times New Roman" w:hAnsi="Verdana" w:cs="Times New Roman"/>
          <w:color w:val="000000" w:themeColor="text1"/>
          <w:lang w:eastAsia="es-ES"/>
        </w:rPr>
        <w:t xml:space="preserve">deberá informar y coordinar sus actividades con la  la Comisión de Coordinación y Seguimiento (CCS) a fin de reportar los resultados de los trabajos que realice para su debida difusión. También  deberá coordinarse  con las diferentes Comisiones y Grupos de Trabajo de la Cumbre Judicial Iberoamericana, y en particular con la Comisión de Calidad para la Justicia (CICAJ), Comisión de Género y Acceso a la Justicia y la Comisión de Ética Judicial (CIEJ) en aquellas tareas de investigación y productos objeto de convergencia mutua.5.Cualquier asunto relacionado con el cumplimiento de su objeto y funciones, teniendo en cuenta la salud y el bienestar de los jueces iberoamericanos, será objeto de deliberación de la Comisión Ejecutiva del </w:t>
      </w:r>
      <w:r w:rsidRPr="00BE71D2">
        <w:rPr>
          <w:rFonts w:ascii="Verdana" w:hAnsi="Verdana"/>
          <w:b/>
          <w:bCs/>
          <w:color w:val="000000" w:themeColor="text1"/>
        </w:rPr>
        <w:t>Observatorio</w:t>
      </w:r>
      <w:r w:rsidRPr="00BE71D2">
        <w:rPr>
          <w:rFonts w:ascii="Verdana" w:eastAsia="Times New Roman" w:hAnsi="Verdana" w:cs="Times New Roman"/>
          <w:color w:val="000000" w:themeColor="text1"/>
          <w:lang w:eastAsia="es-ES"/>
        </w:rPr>
        <w:t>.</w:t>
      </w:r>
    </w:p>
    <w:p w14:paraId="19336513"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p>
    <w:p w14:paraId="63B9520E"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b/>
          <w:bCs/>
          <w:color w:val="000000" w:themeColor="text1"/>
          <w:lang w:eastAsia="es-ES"/>
        </w:rPr>
      </w:pPr>
      <w:r w:rsidRPr="00BE71D2">
        <w:rPr>
          <w:rFonts w:ascii="Verdana" w:eastAsia="Times New Roman" w:hAnsi="Verdana" w:cs="Times New Roman"/>
          <w:b/>
          <w:bCs/>
          <w:color w:val="000000" w:themeColor="text1"/>
          <w:lang w:eastAsia="es-ES"/>
        </w:rPr>
        <w:lastRenderedPageBreak/>
        <w:t>Disposición transitoria</w:t>
      </w:r>
    </w:p>
    <w:p w14:paraId="578DE037" w14:textId="77777777"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 xml:space="preserve">La convocatoria de la primera designación de los/as miembros que compondrán el Observatorio conforme al artículo 4 se llevará a cabo en un plazo de tres meses desde la aprobación  en la Asamblea Plenaria de la Cumbre Judicial Iberoamericana que apruebe la creación de este Observatorio. </w:t>
      </w:r>
    </w:p>
    <w:p w14:paraId="78DF84DB" w14:textId="0393D3A4"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Los Poderes judiciales integrantes del Grupo de Trabajo evaluación del desempeño y bienestar judicial constituido en la edición XXI de la Cumbre judicial Iberoamericana asumirán, bajo la coordinación de los Poderes Judiciales del mencionado Grupo,  las funciones de gestión que corresponda para la designación de los componentes del Observatorio, asumiendo los Poderes judiciales que han coordinado dicho grupo, las funciones de Secretaria ejecutiva en esta tarea hasta la primera convocatoria del Plenario y constitución del Observatorio.</w:t>
      </w:r>
    </w:p>
    <w:p w14:paraId="5EBF0379" w14:textId="005F8C6B" w:rsidR="00BE71D2" w:rsidRPr="00BE71D2" w:rsidRDefault="00BE71D2" w:rsidP="00BE71D2">
      <w:pPr>
        <w:shd w:val="clear" w:color="auto" w:fill="FFFFFF"/>
        <w:spacing w:before="360" w:after="180" w:line="240" w:lineRule="auto"/>
        <w:jc w:val="both"/>
        <w:outlineLvl w:val="4"/>
        <w:rPr>
          <w:rFonts w:ascii="Verdana" w:eastAsia="Times New Roman" w:hAnsi="Verdana" w:cs="Times New Roman"/>
          <w:color w:val="000000" w:themeColor="text1"/>
          <w:lang w:eastAsia="es-ES"/>
        </w:rPr>
      </w:pPr>
      <w:r w:rsidRPr="00BE71D2">
        <w:rPr>
          <w:rFonts w:ascii="Verdana" w:eastAsia="Times New Roman" w:hAnsi="Verdana" w:cs="Times New Roman"/>
          <w:color w:val="000000" w:themeColor="text1"/>
          <w:lang w:eastAsia="es-ES"/>
        </w:rPr>
        <w:t>El Observatorio tras su constitución aprobará los estatutos que rijan su funcionamiento interno.</w:t>
      </w:r>
    </w:p>
    <w:p w14:paraId="31F8AE76" w14:textId="77777777" w:rsidR="00BE71D2" w:rsidRPr="00BE71D2" w:rsidRDefault="00BE71D2" w:rsidP="00BE71D2">
      <w:pPr>
        <w:shd w:val="clear" w:color="auto" w:fill="FFFFFF"/>
        <w:spacing w:before="360" w:after="180" w:line="240" w:lineRule="auto"/>
        <w:jc w:val="both"/>
        <w:rPr>
          <w:rFonts w:ascii="Verdana" w:eastAsia="Times New Roman" w:hAnsi="Verdana" w:cs="Times New Roman"/>
          <w:color w:val="000000" w:themeColor="text1"/>
          <w:lang w:eastAsia="es-ES"/>
        </w:rPr>
      </w:pPr>
    </w:p>
    <w:p w14:paraId="2C49A3BC" w14:textId="77777777" w:rsidR="00BE71D2" w:rsidRPr="00BE71D2" w:rsidRDefault="00BE71D2" w:rsidP="00BE71D2">
      <w:pPr>
        <w:shd w:val="clear" w:color="auto" w:fill="FFFFFF"/>
        <w:spacing w:before="360" w:after="180" w:line="240" w:lineRule="auto"/>
        <w:jc w:val="both"/>
        <w:rPr>
          <w:rFonts w:ascii="Verdana" w:eastAsia="Times New Roman" w:hAnsi="Verdana" w:cs="Times New Roman"/>
          <w:color w:val="000000" w:themeColor="text1"/>
          <w:lang w:eastAsia="es-ES"/>
        </w:rPr>
      </w:pPr>
    </w:p>
    <w:sectPr w:rsidR="00BE71D2" w:rsidRPr="00BE71D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4F679" w14:textId="77777777" w:rsidR="00BD7328" w:rsidRDefault="00BD7328" w:rsidP="00A646A1">
      <w:pPr>
        <w:spacing w:after="0" w:line="240" w:lineRule="auto"/>
      </w:pPr>
      <w:r>
        <w:separator/>
      </w:r>
    </w:p>
  </w:endnote>
  <w:endnote w:type="continuationSeparator" w:id="0">
    <w:p w14:paraId="2AC1EEB2" w14:textId="77777777" w:rsidR="00BD7328" w:rsidRDefault="00BD7328" w:rsidP="00A6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056A" w14:textId="77777777" w:rsidR="00A646A1" w:rsidRDefault="00A646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FB62" w14:textId="77777777" w:rsidR="00A646A1" w:rsidRDefault="00A646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253E" w14:textId="77777777" w:rsidR="00A646A1" w:rsidRDefault="00A646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CF71B" w14:textId="77777777" w:rsidR="00BD7328" w:rsidRDefault="00BD7328" w:rsidP="00A646A1">
      <w:pPr>
        <w:spacing w:after="0" w:line="240" w:lineRule="auto"/>
      </w:pPr>
      <w:r>
        <w:separator/>
      </w:r>
    </w:p>
  </w:footnote>
  <w:footnote w:type="continuationSeparator" w:id="0">
    <w:p w14:paraId="3210B5EE" w14:textId="77777777" w:rsidR="00BD7328" w:rsidRDefault="00BD7328" w:rsidP="00A6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3D32" w14:textId="77777777" w:rsidR="00A646A1" w:rsidRDefault="00A646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DA5C" w14:textId="1A865EF7" w:rsidR="00A646A1" w:rsidRDefault="00A646A1" w:rsidP="00A646A1">
    <w:pPr>
      <w:pStyle w:val="Encabezado"/>
    </w:pPr>
    <w:bookmarkStart w:id="2" w:name="_Hlk136452580"/>
    <w:bookmarkStart w:id="3" w:name="_Hlk136452581"/>
    <w:r>
      <w:t xml:space="preserve">Grupo 2_ Documento de referencia_ Evaluación del Desempeño_ Cuestionario General </w:t>
    </w:r>
  </w:p>
  <w:p w14:paraId="5D7BD33D" w14:textId="77777777" w:rsidR="00A646A1" w:rsidRDefault="00A646A1" w:rsidP="00A646A1">
    <w:pPr>
      <w:pStyle w:val="Encabezado"/>
    </w:pPr>
    <w:r>
      <w:t>Coord. Brasil_ España.-  XXI Cumbre Judicial Iberoamericana</w:t>
    </w:r>
  </w:p>
  <w:p w14:paraId="7263A080" w14:textId="77777777" w:rsidR="00A646A1" w:rsidRDefault="00A646A1" w:rsidP="00A646A1">
    <w:pPr>
      <w:pStyle w:val="Encabezado"/>
    </w:pPr>
    <w:r>
      <w:t xml:space="preserve">Santa Cruz de la Sierra, Bolivia, 28 a 30  de junio 2023 </w:t>
    </w:r>
  </w:p>
  <w:bookmarkEnd w:id="2"/>
  <w:bookmarkEnd w:id="3"/>
  <w:p w14:paraId="73114A6E" w14:textId="77777777" w:rsidR="00A646A1" w:rsidRDefault="00A646A1" w:rsidP="00A646A1">
    <w:pPr>
      <w:pStyle w:val="Encabezado"/>
    </w:pPr>
  </w:p>
  <w:p w14:paraId="66B29B4E" w14:textId="09975D90" w:rsidR="00A646A1" w:rsidRDefault="00506579">
    <w:pPr>
      <w:pStyle w:val="Encabezado"/>
    </w:pPr>
    <w:r>
      <w:rPr>
        <w:noProof/>
      </w:rPr>
      <w:drawing>
        <wp:inline distT="0" distB="0" distL="0" distR="0" wp14:anchorId="0EED17E9" wp14:editId="38BAFAC5">
          <wp:extent cx="1534160" cy="695325"/>
          <wp:effectExtent l="0" t="0" r="8890" b="9525"/>
          <wp:docPr id="5" name="Marcador de contenido 4">
            <a:extLst xmlns:a="http://schemas.openxmlformats.org/drawingml/2006/main">
              <a:ext uri="{FF2B5EF4-FFF2-40B4-BE49-F238E27FC236}">
                <a16:creationId xmlns:a16="http://schemas.microsoft.com/office/drawing/2014/main" id="{7EF30F75-4BEC-0C88-3D5C-78B68A9E9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de contenido 4">
                    <a:extLst>
                      <a:ext uri="{FF2B5EF4-FFF2-40B4-BE49-F238E27FC236}">
                        <a16:creationId xmlns:a16="http://schemas.microsoft.com/office/drawing/2014/main" id="{7EF30F75-4BEC-0C88-3D5C-78B68A9E95D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4160" cy="695325"/>
                  </a:xfrm>
                  <a:prstGeom prst="rect">
                    <a:avLst/>
                  </a:prstGeom>
                </pic:spPr>
              </pic:pic>
            </a:graphicData>
          </a:graphic>
        </wp:inline>
      </w:drawing>
    </w:r>
  </w:p>
  <w:p w14:paraId="066F02AD" w14:textId="77777777" w:rsidR="00A646A1" w:rsidRDefault="00A646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9D0C" w14:textId="77777777" w:rsidR="00A646A1" w:rsidRDefault="00A646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C0117"/>
    <w:multiLevelType w:val="hybridMultilevel"/>
    <w:tmpl w:val="33163C78"/>
    <w:lvl w:ilvl="0" w:tplc="02BA06DA">
      <w:start w:val="3"/>
      <w:numFmt w:val="decimal"/>
      <w:lvlText w:val="%1."/>
      <w:lvlJc w:val="left"/>
      <w:pPr>
        <w:ind w:left="720" w:hanging="360"/>
      </w:pPr>
      <w:rPr>
        <w:rFonts w:hint="default"/>
        <w:b/>
      </w:rPr>
    </w:lvl>
    <w:lvl w:ilvl="1" w:tplc="47864A16">
      <w:start w:val="1"/>
      <w:numFmt w:val="lowerLetter"/>
      <w:lvlText w:val="%2)"/>
      <w:lvlJc w:val="left"/>
      <w:pPr>
        <w:ind w:left="1440" w:hanging="360"/>
      </w:pPr>
      <w:rPr>
        <w:rFonts w:ascii="Verdana" w:eastAsiaTheme="minorEastAsia" w:hAnsi="Verdana"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151089"/>
    <w:multiLevelType w:val="hybridMultilevel"/>
    <w:tmpl w:val="EDE2B168"/>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35311953">
    <w:abstractNumId w:val="0"/>
  </w:num>
  <w:num w:numId="2" w16cid:durableId="81854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19D3"/>
    <w:rsid w:val="00024308"/>
    <w:rsid w:val="0006670E"/>
    <w:rsid w:val="000871BF"/>
    <w:rsid w:val="000916FC"/>
    <w:rsid w:val="000924DB"/>
    <w:rsid w:val="000C7E8D"/>
    <w:rsid w:val="00114F82"/>
    <w:rsid w:val="001408F1"/>
    <w:rsid w:val="00142CD3"/>
    <w:rsid w:val="00186964"/>
    <w:rsid w:val="001B6CAE"/>
    <w:rsid w:val="001E5389"/>
    <w:rsid w:val="001F5F95"/>
    <w:rsid w:val="002525E2"/>
    <w:rsid w:val="00255C68"/>
    <w:rsid w:val="002745FB"/>
    <w:rsid w:val="00280C93"/>
    <w:rsid w:val="00295882"/>
    <w:rsid w:val="002A6601"/>
    <w:rsid w:val="002C0FFE"/>
    <w:rsid w:val="002C2AE7"/>
    <w:rsid w:val="002D4D7E"/>
    <w:rsid w:val="002E3793"/>
    <w:rsid w:val="002F1622"/>
    <w:rsid w:val="002F4C8C"/>
    <w:rsid w:val="00321287"/>
    <w:rsid w:val="003651ED"/>
    <w:rsid w:val="003A0CB2"/>
    <w:rsid w:val="003A4F1C"/>
    <w:rsid w:val="003E1F11"/>
    <w:rsid w:val="003E672C"/>
    <w:rsid w:val="003F462B"/>
    <w:rsid w:val="00400C41"/>
    <w:rsid w:val="00415F09"/>
    <w:rsid w:val="004704A9"/>
    <w:rsid w:val="004A177B"/>
    <w:rsid w:val="004D2DEA"/>
    <w:rsid w:val="004D4B73"/>
    <w:rsid w:val="00506579"/>
    <w:rsid w:val="0051551B"/>
    <w:rsid w:val="00572BB8"/>
    <w:rsid w:val="00577F65"/>
    <w:rsid w:val="005820A5"/>
    <w:rsid w:val="0058368D"/>
    <w:rsid w:val="0059057E"/>
    <w:rsid w:val="005C544B"/>
    <w:rsid w:val="005F4D1A"/>
    <w:rsid w:val="005F73C7"/>
    <w:rsid w:val="00622279"/>
    <w:rsid w:val="00626304"/>
    <w:rsid w:val="006349A7"/>
    <w:rsid w:val="0064067C"/>
    <w:rsid w:val="006406B2"/>
    <w:rsid w:val="0065702B"/>
    <w:rsid w:val="006A5DEE"/>
    <w:rsid w:val="006B5F05"/>
    <w:rsid w:val="007103A9"/>
    <w:rsid w:val="00715660"/>
    <w:rsid w:val="007519D3"/>
    <w:rsid w:val="00776E36"/>
    <w:rsid w:val="007A29E3"/>
    <w:rsid w:val="007B0FB8"/>
    <w:rsid w:val="008161F8"/>
    <w:rsid w:val="008236A8"/>
    <w:rsid w:val="00865078"/>
    <w:rsid w:val="00873830"/>
    <w:rsid w:val="008B7343"/>
    <w:rsid w:val="008D5605"/>
    <w:rsid w:val="00926C5F"/>
    <w:rsid w:val="009522E6"/>
    <w:rsid w:val="00954553"/>
    <w:rsid w:val="00964F85"/>
    <w:rsid w:val="009B249F"/>
    <w:rsid w:val="009D18E6"/>
    <w:rsid w:val="00A16044"/>
    <w:rsid w:val="00A2769F"/>
    <w:rsid w:val="00A37AAE"/>
    <w:rsid w:val="00A60285"/>
    <w:rsid w:val="00A63150"/>
    <w:rsid w:val="00A646A1"/>
    <w:rsid w:val="00A84468"/>
    <w:rsid w:val="00AE0D4A"/>
    <w:rsid w:val="00AE48D3"/>
    <w:rsid w:val="00B03EA9"/>
    <w:rsid w:val="00B42BE1"/>
    <w:rsid w:val="00B56840"/>
    <w:rsid w:val="00B87784"/>
    <w:rsid w:val="00BC368F"/>
    <w:rsid w:val="00BC7B81"/>
    <w:rsid w:val="00BD7328"/>
    <w:rsid w:val="00BD7C14"/>
    <w:rsid w:val="00BE71D2"/>
    <w:rsid w:val="00BF167E"/>
    <w:rsid w:val="00C73CB2"/>
    <w:rsid w:val="00CB0955"/>
    <w:rsid w:val="00CB30A0"/>
    <w:rsid w:val="00CC6A49"/>
    <w:rsid w:val="00CF017B"/>
    <w:rsid w:val="00CF2DC0"/>
    <w:rsid w:val="00D0161C"/>
    <w:rsid w:val="00D0685C"/>
    <w:rsid w:val="00D06E4D"/>
    <w:rsid w:val="00D13E71"/>
    <w:rsid w:val="00D165F2"/>
    <w:rsid w:val="00D36F5A"/>
    <w:rsid w:val="00D37C37"/>
    <w:rsid w:val="00D55DE5"/>
    <w:rsid w:val="00D66810"/>
    <w:rsid w:val="00D7670B"/>
    <w:rsid w:val="00D944A4"/>
    <w:rsid w:val="00DB03B2"/>
    <w:rsid w:val="00DB24AD"/>
    <w:rsid w:val="00E12E18"/>
    <w:rsid w:val="00E151AF"/>
    <w:rsid w:val="00E34C17"/>
    <w:rsid w:val="00E52418"/>
    <w:rsid w:val="00E52A81"/>
    <w:rsid w:val="00E7326F"/>
    <w:rsid w:val="00ED1989"/>
    <w:rsid w:val="00ED6136"/>
    <w:rsid w:val="00ED6806"/>
    <w:rsid w:val="00EE3F63"/>
    <w:rsid w:val="00F22C07"/>
    <w:rsid w:val="00F25FBC"/>
    <w:rsid w:val="00F32AFC"/>
    <w:rsid w:val="00F53AA4"/>
    <w:rsid w:val="00F61A92"/>
    <w:rsid w:val="00F9742A"/>
    <w:rsid w:val="00FD41CE"/>
    <w:rsid w:val="00FE7BD1"/>
    <w:rsid w:val="00FF23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7A65"/>
  <w15:chartTrackingRefBased/>
  <w15:docId w15:val="{187AA6E4-0D16-4BDF-BCCC-7E96C3E1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A84468"/>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468"/>
    <w:pPr>
      <w:spacing w:after="160" w:line="300" w:lineRule="auto"/>
      <w:ind w:left="720"/>
      <w:contextualSpacing/>
    </w:pPr>
    <w:rPr>
      <w:rFonts w:ascii="Verdana" w:eastAsiaTheme="minorEastAsia" w:hAnsi="Verdana"/>
      <w:kern w:val="0"/>
      <w:szCs w:val="21"/>
      <w:lang w:val="pt-BR"/>
      <w14:ligatures w14:val="none"/>
    </w:rPr>
  </w:style>
  <w:style w:type="character" w:customStyle="1" w:styleId="Ttulo5Car">
    <w:name w:val="Título 5 Car"/>
    <w:basedOn w:val="Fuentedeprrafopredeter"/>
    <w:link w:val="Ttulo5"/>
    <w:uiPriority w:val="9"/>
    <w:rsid w:val="00A84468"/>
    <w:rPr>
      <w:rFonts w:ascii="Times New Roman" w:eastAsia="Times New Roman" w:hAnsi="Times New Roman" w:cs="Times New Roman"/>
      <w:b/>
      <w:bCs/>
      <w:kern w:val="0"/>
      <w:sz w:val="20"/>
      <w:szCs w:val="20"/>
      <w:lang w:eastAsia="es-ES"/>
      <w14:ligatures w14:val="none"/>
    </w:rPr>
  </w:style>
  <w:style w:type="paragraph" w:customStyle="1" w:styleId="parrafo2">
    <w:name w:val="parrafo_2"/>
    <w:basedOn w:val="Normal"/>
    <w:rsid w:val="00A8446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arrafo">
    <w:name w:val="parrafo"/>
    <w:basedOn w:val="Normal"/>
    <w:rsid w:val="00A8446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entroredonda">
    <w:name w:val="centro_redonda"/>
    <w:basedOn w:val="Normal"/>
    <w:rsid w:val="00A8446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Default">
    <w:name w:val="Default"/>
    <w:rsid w:val="00A84468"/>
    <w:pPr>
      <w:autoSpaceDE w:val="0"/>
      <w:autoSpaceDN w:val="0"/>
      <w:adjustRightInd w:val="0"/>
      <w:spacing w:after="0" w:line="240" w:lineRule="auto"/>
    </w:pPr>
    <w:rPr>
      <w:rFonts w:ascii="Cambria" w:hAnsi="Cambria" w:cs="Cambria"/>
      <w:color w:val="000000"/>
      <w:kern w:val="0"/>
      <w:sz w:val="24"/>
      <w:szCs w:val="24"/>
    </w:rPr>
  </w:style>
  <w:style w:type="paragraph" w:styleId="Encabezado">
    <w:name w:val="header"/>
    <w:basedOn w:val="Normal"/>
    <w:link w:val="EncabezadoCar"/>
    <w:uiPriority w:val="99"/>
    <w:unhideWhenUsed/>
    <w:rsid w:val="00A646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6A1"/>
  </w:style>
  <w:style w:type="paragraph" w:styleId="Piedepgina">
    <w:name w:val="footer"/>
    <w:basedOn w:val="Normal"/>
    <w:link w:val="PiedepginaCar"/>
    <w:uiPriority w:val="99"/>
    <w:unhideWhenUsed/>
    <w:rsid w:val="00A646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392027">
      <w:bodyDiv w:val="1"/>
      <w:marLeft w:val="0"/>
      <w:marRight w:val="0"/>
      <w:marTop w:val="0"/>
      <w:marBottom w:val="0"/>
      <w:divBdr>
        <w:top w:val="none" w:sz="0" w:space="0" w:color="auto"/>
        <w:left w:val="none" w:sz="0" w:space="0" w:color="auto"/>
        <w:bottom w:val="none" w:sz="0" w:space="0" w:color="auto"/>
        <w:right w:val="none" w:sz="0" w:space="0" w:color="auto"/>
      </w:divBdr>
    </w:div>
    <w:div w:id="21376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8921E-E7B3-4775-ADE0-2AE6F971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1658</Words>
  <Characters>9122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Martínez Moya</dc:creator>
  <cp:keywords/>
  <dc:description/>
  <cp:lastModifiedBy>Juan Martínez Moya</cp:lastModifiedBy>
  <cp:revision>7</cp:revision>
  <dcterms:created xsi:type="dcterms:W3CDTF">2023-05-07T18:49:00Z</dcterms:created>
  <dcterms:modified xsi:type="dcterms:W3CDTF">2023-06-14T19:05:00Z</dcterms:modified>
</cp:coreProperties>
</file>